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cs="宋体"/>
          <w:b/>
          <w:bCs/>
          <w:color w:val="000000" w:themeColor="text1"/>
          <w:sz w:val="44"/>
          <w:szCs w:val="44"/>
          <w14:textFill>
            <w14:solidFill>
              <w14:schemeClr w14:val="tx1"/>
            </w14:solidFill>
          </w14:textFill>
        </w:rPr>
      </w:pPr>
      <w:r>
        <w:rPr>
          <w:rFonts w:hint="eastAsia" w:ascii="宋体" w:hAnsi="宋体" w:cs="宋体"/>
          <w:b/>
          <w:bCs/>
          <w:color w:val="000000" w:themeColor="text1"/>
          <w:sz w:val="44"/>
          <w:szCs w:val="44"/>
          <w14:textFill>
            <w14:solidFill>
              <w14:schemeClr w14:val="tx1"/>
            </w14:solidFill>
          </w14:textFill>
        </w:rPr>
        <w:t>南昌大学马克思主义学院马克思主义理论学位授权点2024年招收“申请-考核”制</w:t>
      </w:r>
    </w:p>
    <w:p>
      <w:pPr>
        <w:spacing w:line="600" w:lineRule="exact"/>
        <w:jc w:val="center"/>
        <w:rPr>
          <w:rFonts w:ascii="宋体" w:hAnsi="宋体" w:cs="宋体"/>
          <w:b/>
          <w:bCs/>
          <w:color w:val="000000" w:themeColor="text1"/>
          <w:sz w:val="44"/>
          <w:szCs w:val="44"/>
          <w14:textFill>
            <w14:solidFill>
              <w14:schemeClr w14:val="tx1"/>
            </w14:solidFill>
          </w14:textFill>
        </w:rPr>
      </w:pPr>
      <w:r>
        <w:rPr>
          <w:rFonts w:hint="eastAsia" w:ascii="宋体" w:hAnsi="宋体" w:cs="宋体"/>
          <w:b/>
          <w:bCs/>
          <w:color w:val="000000" w:themeColor="text1"/>
          <w:sz w:val="44"/>
          <w:szCs w:val="44"/>
          <w14:textFill>
            <w14:solidFill>
              <w14:schemeClr w14:val="tx1"/>
            </w14:solidFill>
          </w14:textFill>
        </w:rPr>
        <w:t>博士研究生实施细则</w:t>
      </w:r>
    </w:p>
    <w:p>
      <w:pPr>
        <w:spacing w:line="600" w:lineRule="exact"/>
        <w:ind w:firstLine="420" w:firstLineChars="200"/>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深入贯彻落实全国教育大会和全国研究生教育会议精神，根据教育部《关于深化研究生教育改革的意见》（教研〔2013〕1号）以及《南昌大学招收攻读博士学位研究生的实施办法（2023年修订）》（南大校发〔2023〕47号）等有关文件的要求，并结合《南昌大学招收“申请-考核”制博士研究生实施办法（2023年修订）》（南大校发〔2023〕48号）的相关规定，马克思主义学院马克思主义理论学科特制定本实施细则。</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一、招生原则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1.坚持质量优先。积极探索并遵循高层次专业人才选拔规律，采用多样化的考察方式方法，择优录取，宁缺毋滥，确保录取高质量高素质博士研究生。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2.坚持公平、公正、公开。做到政策透明、程序公正、结果公开，健全监督机制，做到一视同仁，维护考生的合法权益。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3.坚持考查和考核结合。在对考生德智体全面考察基础上，突出对专业素质、科研潜力以及创新精神等全方面的考核。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4.坚持客观评价。考核成绩量化按学校相关文件精神确定，体现报考学生的综合水平。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5.坚持以人为本。尊重考生，服务考生，增强服务意识，提高管理水平。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坚持单个导师招生指标数总量控制。申请人须按照我校博士生招生简章和我院的相关要求进行报名并提交申请材料，经我院博士招生工作小组对申请人的材料审核评估后确认是否给予考核资格，对符合条件者通过考核确定是否录取。</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b/>
          <w:bCs/>
          <w:color w:val="000000" w:themeColor="text1"/>
          <w:sz w:val="32"/>
          <w:szCs w:val="32"/>
          <w14:textFill>
            <w14:solidFill>
              <w14:schemeClr w14:val="tx1"/>
            </w14:solidFill>
          </w14:textFill>
        </w:rPr>
        <w:t>、招生对象及报考条件</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（一）招生对象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硕博连读生为本校二年级在读硕士研究生，普通博士生招生对象为全日制硕士研究生（含应届毕业生），不招收同等学力考生，不招收理工医农等非专业考生（思政专项计划考生按照教育部要求执行）。</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（二）报考条件</w:t>
      </w:r>
      <w:bookmarkStart w:id="0" w:name="_GoBack"/>
      <w:bookmarkEnd w:id="0"/>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Style w:val="21"/>
          <w:rFonts w:hint="default"/>
          <w:color w:val="000000" w:themeColor="text1"/>
          <w14:textFill>
            <w14:solidFill>
              <w14:schemeClr w14:val="tx1"/>
            </w14:solidFill>
          </w14:textFill>
        </w:rPr>
        <w:t>符合《南昌大学招收攻读博士学位研究生的实施办法》中的申请条件以及我校公布的年度《博士学位研究生招生简章》</w:t>
      </w:r>
      <w:r>
        <w:rPr>
          <w:rStyle w:val="21"/>
          <w:rFonts w:hint="eastAsia" w:eastAsia="仿宋_GB2312"/>
          <w:color w:val="000000" w:themeColor="text1"/>
          <w:lang w:eastAsia="zh-CN"/>
          <w14:textFill>
            <w14:solidFill>
              <w14:schemeClr w14:val="tx1"/>
            </w14:solidFill>
          </w14:textFill>
        </w:rPr>
        <w:t>、</w:t>
      </w:r>
      <w:r>
        <w:rPr>
          <w:rStyle w:val="21"/>
          <w:rFonts w:hint="default"/>
          <w:color w:val="000000" w:themeColor="text1"/>
          <w14:textFill>
            <w14:solidFill>
              <w14:schemeClr w14:val="tx1"/>
            </w14:solidFill>
          </w14:textFill>
        </w:rPr>
        <w:t>《博士学位研究生招生专业目录》</w:t>
      </w:r>
      <w:r>
        <w:rPr>
          <w:rStyle w:val="21"/>
          <w:rFonts w:hint="eastAsia" w:eastAsia="仿宋_GB2312"/>
          <w:color w:val="000000" w:themeColor="text1"/>
          <w:lang w:eastAsia="zh-CN"/>
          <w14:textFill>
            <w14:solidFill>
              <w14:schemeClr w14:val="tx1"/>
            </w14:solidFill>
          </w14:textFill>
        </w:rPr>
        <w:t>和</w:t>
      </w:r>
      <w:r>
        <w:rPr>
          <w:rFonts w:hint="eastAsia" w:ascii="仿宋_GB2312" w:hAnsi="仿宋_GB2312" w:eastAsia="仿宋_GB2312" w:cs="仿宋_GB2312"/>
          <w:color w:val="000000" w:themeColor="text1"/>
          <w:sz w:val="32"/>
          <w:szCs w:val="32"/>
          <w14:textFill>
            <w14:solidFill>
              <w14:schemeClr w14:val="tx1"/>
            </w14:solidFill>
          </w14:textFill>
        </w:rPr>
        <w:t>《南昌大学招收“申请-考核”制博士研究生实施办法（2023年修订）》（南大校发〔2023〕48号）</w:t>
      </w:r>
      <w:r>
        <w:rPr>
          <w:rStyle w:val="21"/>
          <w:rFonts w:hint="default"/>
          <w:color w:val="000000" w:themeColor="text1"/>
          <w14:textFill>
            <w14:solidFill>
              <w14:schemeClr w14:val="tx1"/>
            </w14:solidFill>
          </w14:textFill>
        </w:rPr>
        <w:t>中的各项报考条件。</w:t>
      </w:r>
      <w:r>
        <w:rPr>
          <w:rFonts w:hint="eastAsia" w:ascii="仿宋_GB2312" w:hAnsi="仿宋_GB2312" w:eastAsia="仿宋_GB2312" w:cs="仿宋_GB2312"/>
          <w:color w:val="000000" w:themeColor="text1"/>
          <w:sz w:val="32"/>
          <w:szCs w:val="32"/>
          <w14:textFill>
            <w14:solidFill>
              <w14:schemeClr w14:val="tx1"/>
            </w14:solidFill>
          </w14:textFill>
        </w:rPr>
        <w:t>拥护中国共产党的领导，具有正确的政治方向，热爱祖国，愿意为社会主义现代化建设服务，遵纪守法，品行端正；身体和心理健康状况符合我校体检规定；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Style w:val="21"/>
          <w:rFonts w:hint="default"/>
          <w:color w:val="000000" w:themeColor="text1"/>
          <w14:textFill>
            <w14:solidFill>
              <w14:schemeClr w14:val="tx1"/>
            </w14:solidFill>
          </w14:textFill>
        </w:rPr>
        <w:t>2.</w:t>
      </w:r>
      <w:r>
        <w:rPr>
          <w:rStyle w:val="21"/>
          <w:rFonts w:hint="default" w:ascii="黑体" w:hAnsi="黑体" w:eastAsia="黑体"/>
          <w:b/>
          <w:bCs/>
          <w:color w:val="000000" w:themeColor="text1"/>
          <w14:textFill>
            <w14:solidFill>
              <w14:schemeClr w14:val="tx1"/>
            </w14:solidFill>
          </w14:textFill>
        </w:rPr>
        <w:t>学历条件</w:t>
      </w:r>
      <w:r>
        <w:rPr>
          <w:rStyle w:val="21"/>
          <w:rFonts w:hint="default"/>
          <w:color w:val="000000" w:themeColor="text1"/>
          <w14:textFill>
            <w14:solidFill>
              <w14:schemeClr w14:val="tx1"/>
            </w14:solidFill>
          </w14:textFill>
        </w:rPr>
        <w:t>。除硕博连读生外，普通博士生报考全日制博士须为全日制应届或往届硕士研究生，且最迟于博士入学前取得硕士研究生</w:t>
      </w:r>
      <w:r>
        <w:rPr>
          <w:rStyle w:val="21"/>
          <w:rFonts w:hint="default"/>
          <w:b/>
          <w:bCs/>
          <w:color w:val="000000" w:themeColor="text1"/>
          <w14:textFill>
            <w14:solidFill>
              <w14:schemeClr w14:val="tx1"/>
            </w14:solidFill>
          </w14:textFill>
        </w:rPr>
        <w:t>学位证书且获得毕业证书（包括</w:t>
      </w:r>
      <w:r>
        <w:rPr>
          <w:rStyle w:val="21"/>
          <w:rFonts w:hint="default" w:hAnsi="Times New Roman" w:cs="Times New Roman"/>
          <w:b/>
          <w:bCs/>
          <w:color w:val="000000" w:themeColor="text1"/>
          <w14:textFill>
            <w14:solidFill>
              <w14:schemeClr w14:val="tx1"/>
            </w14:solidFill>
          </w14:textFill>
        </w:rPr>
        <w:t>思政专项计划</w:t>
      </w:r>
      <w:r>
        <w:rPr>
          <w:rStyle w:val="21"/>
          <w:rFonts w:hint="default"/>
          <w:b/>
          <w:bCs/>
          <w:color w:val="000000" w:themeColor="text1"/>
          <w14:textFill>
            <w14:solidFill>
              <w14:schemeClr w14:val="tx1"/>
            </w14:solidFill>
          </w14:textFill>
        </w:rPr>
        <w:t>）</w:t>
      </w:r>
      <w:r>
        <w:rPr>
          <w:rStyle w:val="21"/>
          <w:rFonts w:hint="default"/>
          <w:color w:val="000000" w:themeColor="text1"/>
          <w14:textFill>
            <w14:solidFill>
              <w14:schemeClr w14:val="tx1"/>
            </w14:solidFill>
          </w14:textFill>
        </w:rPr>
        <w:t>；获得国（境）外高水平大学硕士学位者，须提供教育部留学服务中心的认证报告。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Style w:val="22"/>
          <w:rFonts w:hint="eastAsia"/>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Style w:val="21"/>
          <w:rFonts w:hint="default" w:ascii="黑体" w:hAnsi="黑体" w:eastAsia="黑体"/>
          <w:b/>
          <w:color w:val="000000" w:themeColor="text1"/>
          <w14:textFill>
            <w14:solidFill>
              <w14:schemeClr w14:val="tx1"/>
            </w14:solidFill>
          </w14:textFill>
        </w:rPr>
        <w:t>外语条件</w:t>
      </w:r>
      <w:r>
        <w:rPr>
          <w:rStyle w:val="21"/>
          <w:rFonts w:hint="default"/>
          <w:color w:val="000000" w:themeColor="text1"/>
          <w14:textFill>
            <w14:solidFill>
              <w14:schemeClr w14:val="tx1"/>
            </w14:solidFill>
          </w14:textFill>
        </w:rPr>
        <w:t>。申请人的外语水平至少需满足以下条件之一：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Style w:val="21"/>
          <w:rFonts w:hint="default"/>
          <w:color w:val="000000" w:themeColor="text1"/>
          <w14:textFill>
            <w14:solidFill>
              <w14:schemeClr w14:val="tx1"/>
            </w14:solidFill>
          </w14:textFill>
        </w:rPr>
      </w:pPr>
      <w:r>
        <w:rPr>
          <w:rStyle w:val="22"/>
          <w:rFonts w:hint="eastAsia"/>
          <w:color w:val="000000" w:themeColor="text1"/>
          <w14:textFill>
            <w14:solidFill>
              <w14:schemeClr w14:val="tx1"/>
            </w14:solidFill>
          </w14:textFill>
        </w:rPr>
        <w:t>①</w:t>
      </w:r>
      <w:r>
        <w:rPr>
          <w:rStyle w:val="21"/>
          <w:rFonts w:hint="default"/>
          <w:color w:val="000000" w:themeColor="text1"/>
          <w14:textFill>
            <w14:solidFill>
              <w14:schemeClr w14:val="tx1"/>
            </w14:solidFill>
          </w14:textFill>
        </w:rPr>
        <w:t>在英语语言国家获得过学士以上学位者；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Style w:val="21"/>
          <w:rFonts w:hint="default"/>
          <w:color w:val="000000" w:themeColor="text1"/>
          <w14:textFill>
            <w14:solidFill>
              <w14:schemeClr w14:val="tx1"/>
            </w14:solidFill>
          </w14:textFill>
        </w:rPr>
      </w:pPr>
      <w:r>
        <w:rPr>
          <w:rStyle w:val="21"/>
          <w:rFonts w:hint="default"/>
          <w:color w:val="000000" w:themeColor="text1"/>
          <w14:textFill>
            <w14:solidFill>
              <w14:schemeClr w14:val="tx1"/>
            </w14:solidFill>
          </w14:textFill>
        </w:rPr>
        <w:t>②全国大学英语六级考试（</w:t>
      </w:r>
      <w:r>
        <w:rPr>
          <w:rStyle w:val="22"/>
          <w:color w:val="000000" w:themeColor="text1"/>
          <w14:textFill>
            <w14:solidFill>
              <w14:schemeClr w14:val="tx1"/>
            </w14:solidFill>
          </w14:textFill>
        </w:rPr>
        <w:t>CTE6</w:t>
      </w:r>
      <w:r>
        <w:rPr>
          <w:rStyle w:val="21"/>
          <w:rFonts w:hint="default"/>
          <w:color w:val="000000" w:themeColor="text1"/>
          <w14:textFill>
            <w14:solidFill>
              <w14:schemeClr w14:val="tx1"/>
            </w14:solidFill>
          </w14:textFill>
        </w:rPr>
        <w:t>）成绩≥</w:t>
      </w:r>
      <w:r>
        <w:rPr>
          <w:rStyle w:val="22"/>
          <w:color w:val="000000" w:themeColor="text1"/>
          <w14:textFill>
            <w14:solidFill>
              <w14:schemeClr w14:val="tx1"/>
            </w14:solidFill>
          </w14:textFill>
        </w:rPr>
        <w:t>425</w:t>
      </w:r>
      <w:r>
        <w:rPr>
          <w:rStyle w:val="21"/>
          <w:rFonts w:hint="default"/>
          <w:color w:val="000000" w:themeColor="text1"/>
          <w14:textFill>
            <w14:solidFill>
              <w14:schemeClr w14:val="tx1"/>
            </w14:solidFill>
          </w14:textFill>
        </w:rPr>
        <w:t>分或全国大学英语四级考试（</w:t>
      </w:r>
      <w:r>
        <w:rPr>
          <w:rStyle w:val="22"/>
          <w:color w:val="000000" w:themeColor="text1"/>
          <w14:textFill>
            <w14:solidFill>
              <w14:schemeClr w14:val="tx1"/>
            </w14:solidFill>
          </w14:textFill>
        </w:rPr>
        <w:t>CET4</w:t>
      </w:r>
      <w:r>
        <w:rPr>
          <w:rStyle w:val="21"/>
          <w:rFonts w:hint="default"/>
          <w:color w:val="000000" w:themeColor="text1"/>
          <w14:textFill>
            <w14:solidFill>
              <w14:schemeClr w14:val="tx1"/>
            </w14:solidFill>
          </w14:textFill>
        </w:rPr>
        <w:t>）成绩≥</w:t>
      </w:r>
      <w:r>
        <w:rPr>
          <w:rStyle w:val="22"/>
          <w:color w:val="000000" w:themeColor="text1"/>
          <w14:textFill>
            <w14:solidFill>
              <w14:schemeClr w14:val="tx1"/>
            </w14:solidFill>
          </w14:textFill>
        </w:rPr>
        <w:t>450</w:t>
      </w:r>
      <w:r>
        <w:rPr>
          <w:rStyle w:val="21"/>
          <w:rFonts w:hint="default"/>
          <w:color w:val="000000" w:themeColor="text1"/>
          <w14:textFill>
            <w14:solidFill>
              <w14:schemeClr w14:val="tx1"/>
            </w14:solidFill>
          </w14:textFill>
        </w:rPr>
        <w:t>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Style w:val="21"/>
          <w:rFonts w:hint="default"/>
          <w:color w:val="000000" w:themeColor="text1"/>
          <w14:textFill>
            <w14:solidFill>
              <w14:schemeClr w14:val="tx1"/>
            </w14:solidFill>
          </w14:textFill>
        </w:rPr>
      </w:pPr>
      <w:r>
        <w:rPr>
          <w:rStyle w:val="21"/>
          <w:rFonts w:hint="default"/>
          <w:color w:val="000000" w:themeColor="text1"/>
          <w14:textFill>
            <w14:solidFill>
              <w14:schemeClr w14:val="tx1"/>
            </w14:solidFill>
          </w14:textFill>
        </w:rPr>
        <w:t>③托福（</w:t>
      </w:r>
      <w:r>
        <w:rPr>
          <w:rStyle w:val="22"/>
          <w:color w:val="000000" w:themeColor="text1"/>
          <w14:textFill>
            <w14:solidFill>
              <w14:schemeClr w14:val="tx1"/>
            </w14:solidFill>
          </w14:textFill>
        </w:rPr>
        <w:t>TOEFL</w:t>
      </w:r>
      <w:r>
        <w:rPr>
          <w:rStyle w:val="21"/>
          <w:rFonts w:hint="default"/>
          <w:color w:val="000000" w:themeColor="text1"/>
          <w14:textFill>
            <w14:solidFill>
              <w14:schemeClr w14:val="tx1"/>
            </w14:solidFill>
          </w14:textFill>
        </w:rPr>
        <w:t>）成绩≥</w:t>
      </w:r>
      <w:r>
        <w:rPr>
          <w:rStyle w:val="22"/>
          <w:color w:val="000000" w:themeColor="text1"/>
          <w14:textFill>
            <w14:solidFill>
              <w14:schemeClr w14:val="tx1"/>
            </w14:solidFill>
          </w14:textFill>
        </w:rPr>
        <w:t>80</w:t>
      </w:r>
      <w:r>
        <w:rPr>
          <w:rStyle w:val="21"/>
          <w:rFonts w:hint="default"/>
          <w:color w:val="000000" w:themeColor="text1"/>
          <w14:textFill>
            <w14:solidFill>
              <w14:schemeClr w14:val="tx1"/>
            </w14:solidFill>
          </w14:textFill>
        </w:rPr>
        <w:t>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Style w:val="21"/>
          <w:rFonts w:hint="default"/>
          <w:color w:val="000000" w:themeColor="text1"/>
          <w14:textFill>
            <w14:solidFill>
              <w14:schemeClr w14:val="tx1"/>
            </w14:solidFill>
          </w14:textFill>
        </w:rPr>
      </w:pPr>
      <w:r>
        <w:rPr>
          <w:rStyle w:val="21"/>
          <w:rFonts w:hint="default"/>
          <w:color w:val="000000" w:themeColor="text1"/>
          <w14:textFill>
            <w14:solidFill>
              <w14:schemeClr w14:val="tx1"/>
            </w14:solidFill>
          </w14:textFill>
        </w:rPr>
        <w:t>④雅思（</w:t>
      </w:r>
      <w:r>
        <w:rPr>
          <w:rStyle w:val="22"/>
          <w:color w:val="000000" w:themeColor="text1"/>
          <w14:textFill>
            <w14:solidFill>
              <w14:schemeClr w14:val="tx1"/>
            </w14:solidFill>
          </w14:textFill>
        </w:rPr>
        <w:t>IELTS</w:t>
      </w:r>
      <w:r>
        <w:rPr>
          <w:rStyle w:val="21"/>
          <w:rFonts w:hint="default"/>
          <w:color w:val="000000" w:themeColor="text1"/>
          <w14:textFill>
            <w14:solidFill>
              <w14:schemeClr w14:val="tx1"/>
            </w14:solidFill>
          </w14:textFill>
        </w:rPr>
        <w:t>）成绩≥</w:t>
      </w:r>
      <w:r>
        <w:rPr>
          <w:rStyle w:val="22"/>
          <w:color w:val="000000" w:themeColor="text1"/>
          <w14:textFill>
            <w14:solidFill>
              <w14:schemeClr w14:val="tx1"/>
            </w14:solidFill>
          </w14:textFill>
        </w:rPr>
        <w:t>6</w:t>
      </w:r>
      <w:r>
        <w:rPr>
          <w:rStyle w:val="21"/>
          <w:rFonts w:hint="default"/>
          <w:color w:val="000000" w:themeColor="text1"/>
          <w14:textFill>
            <w14:solidFill>
              <w14:schemeClr w14:val="tx1"/>
            </w14:solidFill>
          </w14:textFill>
        </w:rPr>
        <w:t>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Style w:val="21"/>
          <w:rFonts w:hint="default"/>
          <w:color w:val="000000" w:themeColor="text1"/>
          <w14:textFill>
            <w14:solidFill>
              <w14:schemeClr w14:val="tx1"/>
            </w14:solidFill>
          </w14:textFill>
        </w:rPr>
      </w:pPr>
      <w:r>
        <w:rPr>
          <w:rStyle w:val="21"/>
          <w:rFonts w:hint="default"/>
          <w:color w:val="000000" w:themeColor="text1"/>
          <w14:textFill>
            <w14:solidFill>
              <w14:schemeClr w14:val="tx1"/>
            </w14:solidFill>
          </w14:textFill>
        </w:rPr>
        <w:t>⑤参加我校统一组织的英语水平测试且成绩合格；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Style w:val="21"/>
          <w:rFonts w:hint="default"/>
          <w:color w:val="000000" w:themeColor="text1"/>
          <w14:textFill>
            <w14:solidFill>
              <w14:schemeClr w14:val="tx1"/>
            </w14:solidFill>
          </w14:textFill>
        </w:rPr>
      </w:pPr>
      <w:r>
        <w:rPr>
          <w:rStyle w:val="21"/>
          <w:rFonts w:hint="default"/>
          <w:color w:val="000000" w:themeColor="text1"/>
          <w14:textFill>
            <w14:solidFill>
              <w14:schemeClr w14:val="tx1"/>
            </w14:solidFill>
          </w14:textFill>
        </w:rPr>
        <w:t>以上成绩证书获得时间距当年博士入学时间（</w:t>
      </w:r>
      <w:r>
        <w:rPr>
          <w:rStyle w:val="22"/>
          <w:color w:val="000000" w:themeColor="text1"/>
          <w14:textFill>
            <w14:solidFill>
              <w14:schemeClr w14:val="tx1"/>
            </w14:solidFill>
          </w14:textFill>
        </w:rPr>
        <w:t>9</w:t>
      </w:r>
      <w:r>
        <w:rPr>
          <w:rStyle w:val="21"/>
          <w:rFonts w:hint="default"/>
          <w:color w:val="000000" w:themeColor="text1"/>
          <w14:textFill>
            <w14:solidFill>
              <w14:schemeClr w14:val="tx1"/>
            </w14:solidFill>
          </w14:textFill>
        </w:rPr>
        <w:t>月</w:t>
      </w:r>
      <w:r>
        <w:rPr>
          <w:rStyle w:val="22"/>
          <w:color w:val="000000" w:themeColor="text1"/>
          <w14:textFill>
            <w14:solidFill>
              <w14:schemeClr w14:val="tx1"/>
            </w14:solidFill>
          </w14:textFill>
        </w:rPr>
        <w:t>1</w:t>
      </w:r>
      <w:r>
        <w:rPr>
          <w:rStyle w:val="21"/>
          <w:rFonts w:hint="default"/>
          <w:color w:val="000000" w:themeColor="text1"/>
          <w14:textFill>
            <w14:solidFill>
              <w14:schemeClr w14:val="tx1"/>
            </w14:solidFill>
          </w14:textFill>
        </w:rPr>
        <w:t>日）不超过</w:t>
      </w:r>
      <w:r>
        <w:rPr>
          <w:rStyle w:val="22"/>
          <w:color w:val="000000" w:themeColor="text1"/>
          <w14:textFill>
            <w14:solidFill>
              <w14:schemeClr w14:val="tx1"/>
            </w14:solidFill>
          </w14:textFill>
        </w:rPr>
        <w:t>6</w:t>
      </w:r>
      <w:r>
        <w:rPr>
          <w:rStyle w:val="21"/>
          <w:rFonts w:hint="default"/>
          <w:color w:val="000000" w:themeColor="text1"/>
          <w14:textFill>
            <w14:solidFill>
              <w14:schemeClr w14:val="tx1"/>
            </w14:solidFill>
          </w14:textFill>
        </w:rPr>
        <w:t>年（含</w:t>
      </w:r>
      <w:r>
        <w:rPr>
          <w:rStyle w:val="22"/>
          <w:color w:val="000000" w:themeColor="text1"/>
          <w14:textFill>
            <w14:solidFill>
              <w14:schemeClr w14:val="tx1"/>
            </w14:solidFill>
          </w14:textFill>
        </w:rPr>
        <w:t>6</w:t>
      </w:r>
      <w:r>
        <w:rPr>
          <w:rStyle w:val="21"/>
          <w:rFonts w:hint="default"/>
          <w:color w:val="000000" w:themeColor="text1"/>
          <w14:textFill>
            <w14:solidFill>
              <w14:schemeClr w14:val="tx1"/>
            </w14:solidFill>
          </w14:textFill>
        </w:rPr>
        <w:t>年），若报考时为在读硕士研究生，则成绩证书获得时间不受以上时间限制。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Style w:val="22"/>
          <w:rFonts w:hint="eastAsia"/>
          <w:color w:val="000000" w:themeColor="text1"/>
          <w14:textFill>
            <w14:solidFill>
              <w14:schemeClr w14:val="tx1"/>
            </w14:solidFill>
          </w14:textFill>
        </w:rPr>
      </w:pPr>
      <w:r>
        <w:rPr>
          <w:rStyle w:val="21"/>
          <w:rFonts w:hint="default"/>
          <w:color w:val="000000" w:themeColor="text1"/>
          <w14:textFill>
            <w14:solidFill>
              <w14:schemeClr w14:val="tx1"/>
            </w14:solidFill>
          </w14:textFill>
        </w:rPr>
        <w:t>4.</w:t>
      </w:r>
      <w:r>
        <w:rPr>
          <w:rStyle w:val="21"/>
          <w:rFonts w:hint="default" w:ascii="黑体" w:hAnsi="黑体" w:eastAsia="黑体"/>
          <w:b/>
          <w:color w:val="000000" w:themeColor="text1"/>
          <w14:textFill>
            <w14:solidFill>
              <w14:schemeClr w14:val="tx1"/>
            </w14:solidFill>
          </w14:textFill>
        </w:rPr>
        <w:t>学术条件</w:t>
      </w:r>
      <w:r>
        <w:rPr>
          <w:rStyle w:val="21"/>
          <w:rFonts w:hint="default"/>
          <w:color w:val="000000" w:themeColor="text1"/>
          <w14:textFill>
            <w14:solidFill>
              <w14:schemeClr w14:val="tx1"/>
            </w14:solidFill>
          </w14:textFill>
        </w:rPr>
        <w:t>。坚守学术诚信，无学术不端行为记录，有较好的科研能力和科研成果产出，近五年内至少符合以下条件之一：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Style w:val="21"/>
          <w:rFonts w:hint="default"/>
          <w:color w:val="000000" w:themeColor="text1"/>
          <w14:textFill>
            <w14:solidFill>
              <w14:schemeClr w14:val="tx1"/>
            </w14:solidFill>
          </w14:textFill>
        </w:rPr>
      </w:pPr>
      <w:r>
        <w:rPr>
          <w:rStyle w:val="21"/>
          <w:rFonts w:hint="default"/>
          <w:color w:val="000000" w:themeColor="text1"/>
          <w14:textFill>
            <w14:solidFill>
              <w14:schemeClr w14:val="tx1"/>
            </w14:solidFill>
          </w14:textFill>
        </w:rPr>
        <w:t>①以第一作者、通讯作者或第二作者（导师为第一作者）发表学术论文；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Style w:val="22"/>
          <w:rFonts w:hint="eastAsia"/>
          <w:color w:val="000000" w:themeColor="text1"/>
          <w14:textFill>
            <w14:solidFill>
              <w14:schemeClr w14:val="tx1"/>
            </w14:solidFill>
          </w14:textFill>
        </w:rPr>
      </w:pPr>
      <w:r>
        <w:rPr>
          <w:rStyle w:val="21"/>
          <w:rFonts w:hint="default"/>
          <w:color w:val="000000" w:themeColor="text1"/>
          <w14:textFill>
            <w14:solidFill>
              <w14:schemeClr w14:val="tx1"/>
            </w14:solidFill>
          </w14:textFill>
        </w:rPr>
        <w:t>②作为主要成员获得省部级以上科研奖励；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Style w:val="22"/>
          <w:rFonts w:hint="eastAsia"/>
          <w:color w:val="000000" w:themeColor="text1"/>
          <w14:textFill>
            <w14:solidFill>
              <w14:schemeClr w14:val="tx1"/>
            </w14:solidFill>
          </w14:textFill>
        </w:rPr>
      </w:pPr>
      <w:r>
        <w:rPr>
          <w:rStyle w:val="21"/>
          <w:rFonts w:hint="default"/>
          <w:color w:val="000000" w:themeColor="text1"/>
          <w14:textFill>
            <w14:solidFill>
              <w14:schemeClr w14:val="tx1"/>
            </w14:solidFill>
          </w14:textFill>
        </w:rPr>
        <w:t>③作为主要成员参与国家级科研项目且已取得一定成果；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Style w:val="22"/>
          <w:rFonts w:hint="eastAsia"/>
          <w:color w:val="000000" w:themeColor="text1"/>
          <w14:textFill>
            <w14:solidFill>
              <w14:schemeClr w14:val="tx1"/>
            </w14:solidFill>
          </w14:textFill>
        </w:rPr>
      </w:pPr>
      <w:r>
        <w:rPr>
          <w:rStyle w:val="21"/>
          <w:rFonts w:hint="default"/>
          <w:color w:val="000000" w:themeColor="text1"/>
          <w14:textFill>
            <w14:solidFill>
              <w14:schemeClr w14:val="tx1"/>
            </w14:solidFill>
          </w14:textFill>
        </w:rPr>
        <w:t>④作为主要成员在全国研究生创新竞赛或全国普通高校学科竞赛排行榜内竞赛项目中获得奖励；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Style w:val="21"/>
          <w:rFonts w:hint="default"/>
          <w:color w:val="000000" w:themeColor="text1"/>
          <w14:textFill>
            <w14:solidFill>
              <w14:schemeClr w14:val="tx1"/>
            </w14:solidFill>
          </w14:textFill>
        </w:rPr>
      </w:pPr>
      <w:r>
        <w:rPr>
          <w:rStyle w:val="22"/>
          <w:rFonts w:hint="eastAsia"/>
          <w:color w:val="000000" w:themeColor="text1"/>
          <w14:textFill>
            <w14:solidFill>
              <w14:schemeClr w14:val="tx1"/>
            </w14:solidFill>
          </w14:textFill>
        </w:rPr>
        <w:t>⑤</w:t>
      </w:r>
      <w:r>
        <w:rPr>
          <w:rStyle w:val="21"/>
          <w:rFonts w:hint="default"/>
          <w:color w:val="000000" w:themeColor="text1"/>
          <w14:textFill>
            <w14:solidFill>
              <w14:schemeClr w14:val="tx1"/>
            </w14:solidFill>
          </w14:textFill>
        </w:rPr>
        <w:t>取得其他创新性成果的，如受到省厅领导肯定性批示，研究报告等。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Style w:val="21"/>
          <w:rFonts w:hint="default"/>
          <w:color w:val="000000" w:themeColor="text1"/>
          <w14:textFill>
            <w14:solidFill>
              <w14:schemeClr w14:val="tx1"/>
            </w14:solidFill>
          </w14:textFill>
        </w:rPr>
      </w:pPr>
      <w:r>
        <w:rPr>
          <w:rStyle w:val="21"/>
          <w:rFonts w:hint="default"/>
          <w:color w:val="000000" w:themeColor="text1"/>
          <w14:textFill>
            <w14:solidFill>
              <w14:schemeClr w14:val="tx1"/>
            </w14:solidFill>
          </w14:textFill>
        </w:rPr>
        <w:t>5.报考教育部高校思想政治工作骨干专项计划的考生，必须符合国家的相关政策要求。</w:t>
      </w:r>
      <w:r>
        <w:rPr>
          <w:rStyle w:val="21"/>
          <w:rFonts w:hint="default" w:hAnsi="仿宋_GB2312"/>
          <w:color w:val="000000" w:themeColor="text1"/>
          <w14:textFill>
            <w14:solidFill>
              <w14:schemeClr w14:val="tx1"/>
            </w14:solidFill>
          </w14:textFill>
        </w:rPr>
        <w:t>其中校内招生不超过1</w:t>
      </w:r>
      <w:r>
        <w:rPr>
          <w:rStyle w:val="21"/>
          <w:rFonts w:hint="default"/>
          <w:color w:val="000000" w:themeColor="text1"/>
          <w14:textFill>
            <w14:solidFill>
              <w14:schemeClr w14:val="tx1"/>
            </w14:solidFill>
          </w14:textFill>
        </w:rPr>
        <w:t>人,辅导员招生不少于2人。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6.培养方式为全日制非定向博士研究生（思政工作专项计划除外）。</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b/>
          <w:bCs/>
          <w:color w:val="000000" w:themeColor="text1"/>
          <w:sz w:val="32"/>
          <w:szCs w:val="32"/>
          <w14:textFill>
            <w14:solidFill>
              <w14:schemeClr w14:val="tx1"/>
            </w14:solidFill>
          </w14:textFill>
        </w:rPr>
        <w:t>、工作程序</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（二）资格审核、材料评议及专业基础笔试</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1.资格审核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学院成立申请资格审查小组，根据学校和学院所要求的申请条件对申请人进行资格初审。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2.材料评议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学院成立由博士生导师（3-5名）组成的材料评议小组，对考生提交的申请材料包括学历学位、在校成绩、外语水平、科研成果、学术奖励、科研项目、科研计划书等进行全面审核；对科研计划书的选题意义、研究难度、学术创新价值等进行评议，形成综合评议意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材料评议成绩分值为100分，具体标准如下：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基本素质（分值30分）。由评议小组成员根据申请人本科与硕士就读院校、本科与硕士所读学科排名、本科与硕士所学专业与马克思主义理论学科专业的相近度、硕士期间学业成绩、英语水平等指标，进行打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（2）科研能力（分值40分）。由评议小组成员根据申请人发表论文情况、主持科研项目情况、出版学术专著以及科研获奖情况等进行打分。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（3）创新潜质（分值30分）。由评议组成员根据教授推荐信、硕士学位论文、研究计划书等进行综合评判打分。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每位申请者的材料评议成绩为全部评议小组成员打分的平均值。</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3.马克思主义理论综合笔试</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主要形式：笔试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笔试内容为马克思主义理论综合，主要考核本学科专业基础理论和专业知识，笔试时长120分钟，分值100分。</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4.结果的运用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材料评议与马克思主义理论综合笔试成绩均以60分为及格线，任一环节不及格均视为不合格，不得进入综合考核名单；材料评议结果和专业笔试成绩相加，总分为200分，按招生计划的1:1.2比例（思政专项计划单独排名）确定进入综合考核名单，名单报研究生院审核后公示。</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（三）综合考核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综合考核程序内容：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1"/>
          <w14:textFill>
            <w14:solidFill>
              <w14:schemeClr w14:val="tx1"/>
            </w14:solidFill>
          </w14:textFill>
        </w:rPr>
        <w:t>（1）</w:t>
      </w:r>
      <w:r>
        <w:rPr>
          <w:rFonts w:ascii="仿宋_GB2312" w:hAnsi="仿宋_GB2312" w:eastAsia="仿宋_GB2312" w:cs="仿宋_GB2312"/>
          <w:color w:val="000000" w:themeColor="text1"/>
          <w:sz w:val="32"/>
          <w:szCs w:val="31"/>
          <w14:textFill>
            <w14:solidFill>
              <w14:schemeClr w14:val="tx1"/>
            </w14:solidFill>
          </w14:textFill>
        </w:rPr>
        <w:t>外语水平测试</w:t>
      </w:r>
      <w:r>
        <w:rPr>
          <w:rFonts w:hint="eastAsia" w:ascii="仿宋_GB2312" w:hAnsi="仿宋_GB2312" w:eastAsia="仿宋_GB2312" w:cs="仿宋_GB2312"/>
          <w:color w:val="000000" w:themeColor="text1"/>
          <w:sz w:val="32"/>
          <w:szCs w:val="31"/>
          <w14:textFill>
            <w14:solidFill>
              <w14:schemeClr w14:val="tx1"/>
            </w14:solidFill>
          </w14:textFill>
        </w:rPr>
        <w:t>，</w:t>
      </w:r>
      <w:r>
        <w:rPr>
          <w:rFonts w:ascii="仿宋_GB2312" w:hAnsi="仿宋_GB2312" w:eastAsia="仿宋_GB2312" w:cs="仿宋_GB2312"/>
          <w:color w:val="000000" w:themeColor="text1"/>
          <w:sz w:val="32"/>
          <w:szCs w:val="31"/>
          <w14:textFill>
            <w14:solidFill>
              <w14:schemeClr w14:val="tx1"/>
            </w14:solidFill>
          </w14:textFill>
        </w:rPr>
        <w:t>分值</w:t>
      </w:r>
      <w:r>
        <w:rPr>
          <w:rFonts w:ascii="Times New Roman" w:hAnsi="Times New Roman" w:cs="Times New Roman"/>
          <w:color w:val="000000" w:themeColor="text1"/>
          <w:kern w:val="0"/>
          <w:sz w:val="31"/>
          <w:szCs w:val="31"/>
          <w14:textFill>
            <w14:solidFill>
              <w14:schemeClr w14:val="tx1"/>
            </w14:solidFill>
          </w14:textFill>
        </w:rPr>
        <w:t>10</w:t>
      </w:r>
      <w:r>
        <w:rPr>
          <w:rFonts w:hint="eastAsia" w:ascii="Times New Roman" w:hAnsi="Times New Roman" w:cs="Times New Roman"/>
          <w:color w:val="000000" w:themeColor="text1"/>
          <w:kern w:val="0"/>
          <w:sz w:val="31"/>
          <w:szCs w:val="31"/>
          <w14:textFill>
            <w14:solidFill>
              <w14:schemeClr w14:val="tx1"/>
            </w14:solidFill>
          </w14:textFill>
        </w:rPr>
        <w:t>0</w:t>
      </w:r>
      <w:r>
        <w:rPr>
          <w:rFonts w:ascii="仿宋_GB2312" w:hAnsi="仿宋_GB2312" w:eastAsia="仿宋_GB2312" w:cs="仿宋_GB2312"/>
          <w:color w:val="000000" w:themeColor="text1"/>
          <w:kern w:val="0"/>
          <w:sz w:val="31"/>
          <w:szCs w:val="31"/>
          <w14:textFill>
            <w14:solidFill>
              <w14:schemeClr w14:val="tx1"/>
            </w14:solidFill>
          </w14:textFill>
        </w:rPr>
        <w:t>分。</w:t>
      </w:r>
    </w:p>
    <w:p>
      <w:pPr>
        <w:keepNext w:val="0"/>
        <w:keepLines w:val="0"/>
        <w:pageBreakBefore w:val="0"/>
        <w:widowControl/>
        <w:kinsoku/>
        <w:wordWrap/>
        <w:overflowPunct/>
        <w:topLinePunct w:val="0"/>
        <w:autoSpaceDE/>
        <w:autoSpaceDN/>
        <w:bidi w:val="0"/>
        <w:adjustRightInd/>
        <w:snapToGrid/>
        <w:spacing w:line="560" w:lineRule="exact"/>
        <w:ind w:firstLine="620" w:firstLineChars="200"/>
        <w:jc w:val="left"/>
        <w:textAlignment w:val="auto"/>
        <w:rPr>
          <w:color w:val="000000" w:themeColor="text1"/>
          <w14:textFill>
            <w14:solidFill>
              <w14:schemeClr w14:val="tx1"/>
            </w14:solidFill>
          </w14:textFill>
        </w:rPr>
      </w:pPr>
      <w:r>
        <w:rPr>
          <w:rFonts w:hint="eastAsia" w:ascii="仿宋_GB2312" w:hAnsi="仿宋_GB2312" w:eastAsia="仿宋_GB2312" w:cs="仿宋_GB2312"/>
          <w:color w:val="000000" w:themeColor="text1"/>
          <w:kern w:val="0"/>
          <w:sz w:val="31"/>
          <w:szCs w:val="31"/>
          <w14:textFill>
            <w14:solidFill>
              <w14:schemeClr w14:val="tx1"/>
            </w14:solidFill>
          </w14:textFill>
        </w:rPr>
        <w:t>（2）</w:t>
      </w:r>
      <w:r>
        <w:rPr>
          <w:rFonts w:ascii="仿宋_GB2312" w:hAnsi="仿宋_GB2312" w:eastAsia="仿宋_GB2312" w:cs="仿宋_GB2312"/>
          <w:color w:val="000000" w:themeColor="text1"/>
          <w:kern w:val="0"/>
          <w:sz w:val="31"/>
          <w:szCs w:val="31"/>
          <w14:textFill>
            <w14:solidFill>
              <w14:schemeClr w14:val="tx1"/>
            </w14:solidFill>
          </w14:textFill>
        </w:rPr>
        <w:t>专业基础考核</w:t>
      </w:r>
      <w:r>
        <w:rPr>
          <w:rFonts w:hint="eastAsia" w:ascii="仿宋_GB2312" w:hAnsi="仿宋_GB2312" w:eastAsia="仿宋_GB2312" w:cs="仿宋_GB2312"/>
          <w:color w:val="000000" w:themeColor="text1"/>
          <w:kern w:val="0"/>
          <w:sz w:val="31"/>
          <w:szCs w:val="31"/>
          <w14:textFill>
            <w14:solidFill>
              <w14:schemeClr w14:val="tx1"/>
            </w14:solidFill>
          </w14:textFill>
        </w:rPr>
        <w:t>，</w:t>
      </w:r>
      <w:r>
        <w:rPr>
          <w:rFonts w:ascii="仿宋_GB2312" w:hAnsi="仿宋_GB2312" w:eastAsia="仿宋_GB2312" w:cs="仿宋_GB2312"/>
          <w:color w:val="000000" w:themeColor="text1"/>
          <w:kern w:val="0"/>
          <w:sz w:val="31"/>
          <w:szCs w:val="31"/>
          <w14:textFill>
            <w14:solidFill>
              <w14:schemeClr w14:val="tx1"/>
            </w14:solidFill>
          </w14:textFill>
        </w:rPr>
        <w:t>主要考核</w:t>
      </w:r>
      <w:r>
        <w:rPr>
          <w:rFonts w:hint="eastAsia" w:ascii="仿宋_GB2312" w:hAnsi="仿宋_GB2312" w:eastAsia="仿宋_GB2312" w:cs="仿宋_GB2312"/>
          <w:color w:val="000000" w:themeColor="text1"/>
          <w:kern w:val="0"/>
          <w:sz w:val="31"/>
          <w:szCs w:val="31"/>
          <w14:textFill>
            <w14:solidFill>
              <w14:schemeClr w14:val="tx1"/>
            </w14:solidFill>
          </w14:textFill>
        </w:rPr>
        <w:t>所报研究方向的</w:t>
      </w:r>
      <w:r>
        <w:rPr>
          <w:rFonts w:ascii="仿宋_GB2312" w:hAnsi="仿宋_GB2312" w:eastAsia="仿宋_GB2312" w:cs="仿宋_GB2312"/>
          <w:color w:val="000000" w:themeColor="text1"/>
          <w:kern w:val="0"/>
          <w:sz w:val="31"/>
          <w:szCs w:val="31"/>
          <w14:textFill>
            <w14:solidFill>
              <w14:schemeClr w14:val="tx1"/>
            </w14:solidFill>
          </w14:textFill>
        </w:rPr>
        <w:t>专业基础理论和专业知识，分值</w:t>
      </w:r>
      <w:r>
        <w:rPr>
          <w:rFonts w:ascii="Times New Roman" w:hAnsi="Times New Roman" w:cs="Times New Roman"/>
          <w:color w:val="000000" w:themeColor="text1"/>
          <w:kern w:val="0"/>
          <w:sz w:val="31"/>
          <w:szCs w:val="31"/>
          <w14:textFill>
            <w14:solidFill>
              <w14:schemeClr w14:val="tx1"/>
            </w14:solidFill>
          </w14:textFill>
        </w:rPr>
        <w:t>100</w:t>
      </w:r>
      <w:r>
        <w:rPr>
          <w:rFonts w:ascii="仿宋_GB2312" w:hAnsi="仿宋_GB2312" w:eastAsia="仿宋_GB2312" w:cs="仿宋_GB2312"/>
          <w:color w:val="000000" w:themeColor="text1"/>
          <w:kern w:val="0"/>
          <w:sz w:val="31"/>
          <w:szCs w:val="31"/>
          <w14:textFill>
            <w14:solidFill>
              <w14:schemeClr w14:val="tx1"/>
            </w14:solidFill>
          </w14:textFill>
        </w:rPr>
        <w:t>分。</w:t>
      </w:r>
    </w:p>
    <w:p>
      <w:pPr>
        <w:keepNext w:val="0"/>
        <w:keepLines w:val="0"/>
        <w:pageBreakBefore w:val="0"/>
        <w:widowControl/>
        <w:kinsoku/>
        <w:wordWrap/>
        <w:overflowPunct/>
        <w:topLinePunct w:val="0"/>
        <w:autoSpaceDE/>
        <w:autoSpaceDN/>
        <w:bidi w:val="0"/>
        <w:adjustRightInd/>
        <w:snapToGrid/>
        <w:spacing w:line="560" w:lineRule="exact"/>
        <w:ind w:firstLine="620" w:firstLineChars="200"/>
        <w:jc w:val="left"/>
        <w:textAlignment w:val="auto"/>
        <w:rPr>
          <w:rFonts w:ascii="仿宋_GB2312" w:hAnsi="仿宋_GB2312" w:eastAsia="仿宋_GB2312" w:cs="仿宋_GB2312"/>
          <w:color w:val="000000" w:themeColor="text1"/>
          <w:kern w:val="0"/>
          <w:sz w:val="31"/>
          <w:szCs w:val="31"/>
          <w14:textFill>
            <w14:solidFill>
              <w14:schemeClr w14:val="tx1"/>
            </w14:solidFill>
          </w14:textFill>
        </w:rPr>
      </w:pPr>
      <w:r>
        <w:rPr>
          <w:rFonts w:ascii="仿宋_GB2312" w:hAnsi="仿宋_GB2312" w:eastAsia="仿宋_GB2312" w:cs="仿宋_GB2312"/>
          <w:color w:val="000000" w:themeColor="text1"/>
          <w:kern w:val="0"/>
          <w:sz w:val="31"/>
          <w:szCs w:val="31"/>
          <w14:textFill>
            <w14:solidFill>
              <w14:schemeClr w14:val="tx1"/>
            </w14:solidFill>
          </w14:textFill>
        </w:rPr>
        <w:t>（</w:t>
      </w:r>
      <w:r>
        <w:rPr>
          <w:rFonts w:hint="eastAsia" w:ascii="仿宋_GB2312" w:hAnsi="仿宋_GB2312" w:eastAsia="仿宋_GB2312" w:cs="仿宋_GB2312"/>
          <w:color w:val="000000" w:themeColor="text1"/>
          <w:kern w:val="0"/>
          <w:sz w:val="31"/>
          <w:szCs w:val="31"/>
          <w14:textFill>
            <w14:solidFill>
              <w14:schemeClr w14:val="tx1"/>
            </w14:solidFill>
          </w14:textFill>
        </w:rPr>
        <w:t>3</w:t>
      </w:r>
      <w:r>
        <w:rPr>
          <w:rFonts w:ascii="仿宋_GB2312" w:hAnsi="仿宋_GB2312" w:eastAsia="仿宋_GB2312" w:cs="仿宋_GB2312"/>
          <w:color w:val="000000" w:themeColor="text1"/>
          <w:kern w:val="0"/>
          <w:sz w:val="31"/>
          <w:szCs w:val="31"/>
          <w14:textFill>
            <w14:solidFill>
              <w14:schemeClr w14:val="tx1"/>
            </w14:solidFill>
          </w14:textFill>
        </w:rPr>
        <w:t>）综合面试：重点考核申请人思想政治素质和品德、硕士课程学习情况、综合运用所学知识的能力、科研创新能力、对本学科前沿领域及最新研究动态的掌握情况及是否具备博士生培养潜质等。分值</w:t>
      </w:r>
      <w:r>
        <w:rPr>
          <w:rFonts w:ascii="Times New Roman" w:hAnsi="Times New Roman" w:cs="Times New Roman"/>
          <w:color w:val="000000" w:themeColor="text1"/>
          <w:kern w:val="0"/>
          <w:sz w:val="31"/>
          <w:szCs w:val="31"/>
          <w14:textFill>
            <w14:solidFill>
              <w14:schemeClr w14:val="tx1"/>
            </w14:solidFill>
          </w14:textFill>
        </w:rPr>
        <w:t>100</w:t>
      </w:r>
      <w:r>
        <w:rPr>
          <w:rFonts w:ascii="仿宋_GB2312" w:hAnsi="仿宋_GB2312" w:eastAsia="仿宋_GB2312" w:cs="仿宋_GB2312"/>
          <w:color w:val="000000" w:themeColor="text1"/>
          <w:kern w:val="0"/>
          <w:sz w:val="31"/>
          <w:szCs w:val="31"/>
          <w14:textFill>
            <w14:solidFill>
              <w14:schemeClr w14:val="tx1"/>
            </w14:solidFill>
          </w14:textFill>
        </w:rPr>
        <w:t>分。</w:t>
      </w:r>
    </w:p>
    <w:p>
      <w:pPr>
        <w:keepNext w:val="0"/>
        <w:keepLines w:val="0"/>
        <w:pageBreakBefore w:val="0"/>
        <w:widowControl/>
        <w:kinsoku/>
        <w:wordWrap/>
        <w:overflowPunct/>
        <w:topLinePunct w:val="0"/>
        <w:autoSpaceDE/>
        <w:autoSpaceDN/>
        <w:bidi w:val="0"/>
        <w:adjustRightInd/>
        <w:snapToGrid/>
        <w:spacing w:line="560" w:lineRule="exact"/>
        <w:ind w:firstLine="620" w:firstLineChars="200"/>
        <w:jc w:val="left"/>
        <w:textAlignment w:val="auto"/>
        <w:rPr>
          <w:rFonts w:ascii="仿宋_GB2312" w:hAnsi="仿宋_GB2312" w:eastAsia="仿宋_GB2312" w:cs="仿宋_GB2312"/>
          <w:color w:val="000000" w:themeColor="text1"/>
          <w:kern w:val="0"/>
          <w:sz w:val="31"/>
          <w:szCs w:val="31"/>
          <w14:textFill>
            <w14:solidFill>
              <w14:schemeClr w14:val="tx1"/>
            </w14:solidFill>
          </w14:textFill>
        </w:rPr>
      </w:pPr>
      <w:r>
        <w:rPr>
          <w:rFonts w:hint="eastAsia" w:ascii="仿宋_GB2312" w:hAnsi="仿宋_GB2312" w:eastAsia="仿宋_GB2312" w:cs="仿宋_GB2312"/>
          <w:color w:val="000000" w:themeColor="text1"/>
          <w:kern w:val="0"/>
          <w:sz w:val="31"/>
          <w:szCs w:val="31"/>
          <w14:textFill>
            <w14:solidFill>
              <w14:schemeClr w14:val="tx1"/>
            </w14:solidFill>
          </w14:textFill>
        </w:rPr>
        <w:t>以上考核均采取面试口答的形式，总时长不少于30分钟。</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ascii="仿宋_GB2312" w:hAnsi="仿宋_GB2312" w:eastAsia="仿宋_GB2312" w:cs="仿宋_GB2312"/>
          <w:color w:val="000000" w:themeColor="text1"/>
          <w:kern w:val="0"/>
          <w:sz w:val="31"/>
          <w:szCs w:val="31"/>
          <w14:textFill>
            <w14:solidFill>
              <w14:schemeClr w14:val="tx1"/>
            </w14:solidFill>
          </w14:textFill>
        </w:rPr>
      </w:pPr>
      <w:r>
        <w:rPr>
          <w:rFonts w:hint="eastAsia" w:ascii="仿宋_GB2312" w:hAnsi="仿宋_GB2312" w:eastAsia="仿宋_GB2312" w:cs="仿宋_GB2312"/>
          <w:color w:val="000000" w:themeColor="text1"/>
          <w:kern w:val="0"/>
          <w:sz w:val="31"/>
          <w:szCs w:val="31"/>
          <w14:textFill>
            <w14:solidFill>
              <w14:schemeClr w14:val="tx1"/>
            </w14:solidFill>
          </w14:textFill>
        </w:rPr>
        <w:t>以上三项考核分别以60分为及格线，任一项不及格者视为考核不合格，不予录取；外语水平测试及专业基础考核成绩不计入综合考核成绩，综合面试成绩即为综合考核成绩。</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（四）录取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录取原则与方法：采取百分制的形式，按照材料评议占30%，马克思主义理论综合笔试占30%，综合</w:t>
      </w:r>
      <w:r>
        <w:rPr>
          <w:rFonts w:hint="eastAsia" w:ascii="仿宋" w:hAnsi="仿宋" w:eastAsia="仿宋" w:cs="仿宋"/>
          <w:color w:val="000000" w:themeColor="text1"/>
          <w:sz w:val="32"/>
          <w:szCs w:val="32"/>
          <w14:textFill>
            <w14:solidFill>
              <w14:schemeClr w14:val="tx1"/>
            </w14:solidFill>
          </w14:textFill>
        </w:rPr>
        <w:t>面试</w:t>
      </w:r>
      <w:r>
        <w:rPr>
          <w:rFonts w:hint="eastAsia" w:ascii="仿宋_GB2312" w:hAnsi="仿宋_GB2312" w:eastAsia="仿宋_GB2312" w:cs="仿宋_GB2312"/>
          <w:color w:val="000000" w:themeColor="text1"/>
          <w:sz w:val="32"/>
          <w:szCs w:val="32"/>
          <w14:textFill>
            <w14:solidFill>
              <w14:schemeClr w14:val="tx1"/>
            </w14:solidFill>
          </w14:textFill>
        </w:rPr>
        <w:t>成绩占40%，得出总成绩，考生按照总成绩从高到低排序（思政专项计划单独排序），学院研究生招生工作小组根据成绩排序情况、2024年博士招生计划以及导师带生情况，从中择优提出拟录取名单（如遇导师带生人数超过规定的，需调整拟录取导师），拟录取名单报研究生院审核、校研究生招生领导小组审批后，公示10个工作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b/>
          <w:bCs/>
          <w:color w:val="000000" w:themeColor="text1"/>
          <w:sz w:val="32"/>
          <w:szCs w:val="32"/>
          <w14:textFill>
            <w14:solidFill>
              <w14:schemeClr w14:val="tx1"/>
            </w14:solidFill>
          </w14:textFill>
        </w:rPr>
        <w:t>、其他事项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1.我院成立博士研究生招生领导小组，对招生工作统一管理，确保选拔的公平、公正、公开。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2.资格审核小组负责申请材料的初审、察核招生结论、监督招生过程等工作。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3.各专业相关负责人组织材料评议小组，负责对考生的申请材料进行检阅评议。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4.各专业导师组成综合考核专家组，负责招生选拔工作。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5.考生报名不需要导师签字，但必须注明报考导师与学科方向。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申请人必须保证所有申请材料的真实性和准确性，入学时须核验所有申请材料的原件。在报考和考核过程中出现弄虚作假、违纪的考生，一经查实将永久取消其报考南昌大学博士研究生资格，已被录取者将取消入学资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7.各个环节的具体时间及其他要求请及时关注南昌大学研究生院和马克思主义学院的网站，恕不另行通知。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8.学院将在网站上公布材料评审结果、所有参加考生专业基础考核的笔试成绩、综合能力考核成绩、综合面试成绩等信息。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Style w:val="21"/>
          <w:rFonts w:hint="default"/>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9.对招生录取过程中出现的异议，考生可以向南昌大学马克思主义学院博士研究生招生工作小组提出书面申诉，联系电话：0791-83968290（每周一至周五上午9：00-11：30，下午2：00-5：00），电子邮箱：</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"mailto:1627087366@qq.com。南昌大学马克思主义学院博士招生工作小组将根据实际情况向考生做出解释。" </w:instrText>
      </w:r>
      <w:r>
        <w:rPr>
          <w:color w:val="000000" w:themeColor="text1"/>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1627087366@qq.com。南昌大学马克思主义学院博士招生工作小组将根据实际情况向考生做出解释。</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10.本实施细则由马克思主义学院负责解释。</w:t>
      </w:r>
    </w:p>
    <w:p>
      <w:pPr>
        <w:keepNext w:val="0"/>
        <w:keepLines w:val="0"/>
        <w:pageBreakBefore w:val="0"/>
        <w:kinsoku/>
        <w:wordWrap/>
        <w:overflowPunct/>
        <w:topLinePunct w:val="0"/>
        <w:autoSpaceDE/>
        <w:autoSpaceDN/>
        <w:bidi w:val="0"/>
        <w:adjustRightInd/>
        <w:snapToGrid/>
        <w:spacing w:line="560" w:lineRule="exact"/>
        <w:ind w:firstLine="3840" w:firstLineChars="1200"/>
        <w:textAlignment w:val="auto"/>
        <w:rPr>
          <w:rFonts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3840" w:firstLineChars="1200"/>
        <w:textAlignment w:val="auto"/>
        <w:rPr>
          <w:rFonts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3840" w:firstLineChars="1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南昌大学马克思主义学院</w:t>
      </w:r>
    </w:p>
    <w:p>
      <w:pPr>
        <w:keepNext w:val="0"/>
        <w:keepLines w:val="0"/>
        <w:pageBreakBefore w:val="0"/>
        <w:kinsoku/>
        <w:wordWrap/>
        <w:overflowPunct/>
        <w:topLinePunct w:val="0"/>
        <w:autoSpaceDE/>
        <w:autoSpaceDN/>
        <w:bidi w:val="0"/>
        <w:adjustRightInd/>
        <w:snapToGrid/>
        <w:spacing w:line="560" w:lineRule="exact"/>
        <w:ind w:firstLine="3840" w:firstLineChars="1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2024年5月16日</w:t>
      </w:r>
    </w:p>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onsolas">
    <w:panose1 w:val="020B0609020204030204"/>
    <w:charset w:val="00"/>
    <w:family w:val="modern"/>
    <w:pitch w:val="default"/>
    <w:sig w:usb0="A00002EF" w:usb1="4000204B" w:usb2="00000000" w:usb3="00000000" w:csb0="2000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9</w:t>
    </w:r>
    <w:r>
      <w:rPr>
        <w:rFonts w:ascii="Times New Roman" w:hAnsi="Times New Roman" w:cs="Times New Roman"/>
        <w:sz w:val="28"/>
        <w:szCs w:val="28"/>
      </w:rPr>
      <w:fldChar w:fldCharType="end"/>
    </w:r>
  </w:p>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JjMjRjMmU5NWExN2U1NDZlMjU0MmM2YjVmM2JlYzMifQ=="/>
  </w:docVars>
  <w:rsids>
    <w:rsidRoot w:val="215D5491"/>
    <w:rsid w:val="0000140B"/>
    <w:rsid w:val="00007C90"/>
    <w:rsid w:val="0001144B"/>
    <w:rsid w:val="00012A8C"/>
    <w:rsid w:val="000521E3"/>
    <w:rsid w:val="00082574"/>
    <w:rsid w:val="00095173"/>
    <w:rsid w:val="000B2D74"/>
    <w:rsid w:val="000C7DF8"/>
    <w:rsid w:val="00122F6D"/>
    <w:rsid w:val="0013596B"/>
    <w:rsid w:val="00142EC7"/>
    <w:rsid w:val="00145C3B"/>
    <w:rsid w:val="0015769E"/>
    <w:rsid w:val="00171604"/>
    <w:rsid w:val="001752E9"/>
    <w:rsid w:val="001A3D14"/>
    <w:rsid w:val="001E14F3"/>
    <w:rsid w:val="001F5698"/>
    <w:rsid w:val="00223FF9"/>
    <w:rsid w:val="00231DA7"/>
    <w:rsid w:val="0024130A"/>
    <w:rsid w:val="002546BF"/>
    <w:rsid w:val="00306FB4"/>
    <w:rsid w:val="00320AF6"/>
    <w:rsid w:val="00323A18"/>
    <w:rsid w:val="0032793A"/>
    <w:rsid w:val="00367891"/>
    <w:rsid w:val="00371977"/>
    <w:rsid w:val="003847BB"/>
    <w:rsid w:val="00412924"/>
    <w:rsid w:val="00427408"/>
    <w:rsid w:val="00450CCF"/>
    <w:rsid w:val="00473DCB"/>
    <w:rsid w:val="004A2D88"/>
    <w:rsid w:val="004B2E46"/>
    <w:rsid w:val="004C240A"/>
    <w:rsid w:val="00507924"/>
    <w:rsid w:val="00515E11"/>
    <w:rsid w:val="00592D10"/>
    <w:rsid w:val="005E1DD1"/>
    <w:rsid w:val="005E3A4A"/>
    <w:rsid w:val="00660F5A"/>
    <w:rsid w:val="00670FE9"/>
    <w:rsid w:val="006B624D"/>
    <w:rsid w:val="006C04E4"/>
    <w:rsid w:val="0073774A"/>
    <w:rsid w:val="00751B8D"/>
    <w:rsid w:val="00787EE5"/>
    <w:rsid w:val="007B083D"/>
    <w:rsid w:val="007B2024"/>
    <w:rsid w:val="007E3953"/>
    <w:rsid w:val="007F2B95"/>
    <w:rsid w:val="00825DE1"/>
    <w:rsid w:val="008732C8"/>
    <w:rsid w:val="008961C4"/>
    <w:rsid w:val="008B5A29"/>
    <w:rsid w:val="008B5F88"/>
    <w:rsid w:val="008C5816"/>
    <w:rsid w:val="008F0A3E"/>
    <w:rsid w:val="00907348"/>
    <w:rsid w:val="009360C8"/>
    <w:rsid w:val="00940495"/>
    <w:rsid w:val="0096271A"/>
    <w:rsid w:val="009A08C4"/>
    <w:rsid w:val="009C5A1C"/>
    <w:rsid w:val="009D7DA8"/>
    <w:rsid w:val="009F492E"/>
    <w:rsid w:val="009F7F03"/>
    <w:rsid w:val="00A20D3A"/>
    <w:rsid w:val="00A37F61"/>
    <w:rsid w:val="00A44215"/>
    <w:rsid w:val="00A57F4D"/>
    <w:rsid w:val="00A75ABF"/>
    <w:rsid w:val="00A816E1"/>
    <w:rsid w:val="00A9662D"/>
    <w:rsid w:val="00AB3BB7"/>
    <w:rsid w:val="00AC4FFB"/>
    <w:rsid w:val="00AE2738"/>
    <w:rsid w:val="00B27ECF"/>
    <w:rsid w:val="00B309E4"/>
    <w:rsid w:val="00B33D9C"/>
    <w:rsid w:val="00B35389"/>
    <w:rsid w:val="00B9532C"/>
    <w:rsid w:val="00BA24FD"/>
    <w:rsid w:val="00BA4FB3"/>
    <w:rsid w:val="00BD56A4"/>
    <w:rsid w:val="00C42A65"/>
    <w:rsid w:val="00C500F2"/>
    <w:rsid w:val="00C6600B"/>
    <w:rsid w:val="00CC1EBA"/>
    <w:rsid w:val="00CC54B6"/>
    <w:rsid w:val="00CE5737"/>
    <w:rsid w:val="00CF258C"/>
    <w:rsid w:val="00D0117C"/>
    <w:rsid w:val="00D14010"/>
    <w:rsid w:val="00D32F6E"/>
    <w:rsid w:val="00D437ED"/>
    <w:rsid w:val="00D644CC"/>
    <w:rsid w:val="00D674DC"/>
    <w:rsid w:val="00D70AFA"/>
    <w:rsid w:val="00D91798"/>
    <w:rsid w:val="00DA0C28"/>
    <w:rsid w:val="00DA517A"/>
    <w:rsid w:val="00DC3C5B"/>
    <w:rsid w:val="00DE7484"/>
    <w:rsid w:val="00E22CBC"/>
    <w:rsid w:val="00E279DC"/>
    <w:rsid w:val="00E36240"/>
    <w:rsid w:val="00E57BC3"/>
    <w:rsid w:val="00E8291A"/>
    <w:rsid w:val="00EB4B73"/>
    <w:rsid w:val="00EB7F32"/>
    <w:rsid w:val="00EC6C5E"/>
    <w:rsid w:val="00EE1E0F"/>
    <w:rsid w:val="00EE2265"/>
    <w:rsid w:val="00F448C8"/>
    <w:rsid w:val="00F47EA4"/>
    <w:rsid w:val="00F813B9"/>
    <w:rsid w:val="00FB6A0A"/>
    <w:rsid w:val="02B41902"/>
    <w:rsid w:val="03DA2450"/>
    <w:rsid w:val="08F47684"/>
    <w:rsid w:val="096B7B8F"/>
    <w:rsid w:val="09C66D2C"/>
    <w:rsid w:val="0BDB6E8E"/>
    <w:rsid w:val="0F5F302F"/>
    <w:rsid w:val="0FD24B1A"/>
    <w:rsid w:val="10015291"/>
    <w:rsid w:val="11667F4B"/>
    <w:rsid w:val="13F015BE"/>
    <w:rsid w:val="16CA77EB"/>
    <w:rsid w:val="1C667D4D"/>
    <w:rsid w:val="1DAA4842"/>
    <w:rsid w:val="1E763007"/>
    <w:rsid w:val="1ED63E69"/>
    <w:rsid w:val="215D5491"/>
    <w:rsid w:val="254B2704"/>
    <w:rsid w:val="264B1386"/>
    <w:rsid w:val="264F566B"/>
    <w:rsid w:val="284C395F"/>
    <w:rsid w:val="29A66E25"/>
    <w:rsid w:val="2A4C2C0F"/>
    <w:rsid w:val="2C79352D"/>
    <w:rsid w:val="2FD2664B"/>
    <w:rsid w:val="300F47BE"/>
    <w:rsid w:val="313347D8"/>
    <w:rsid w:val="32BF36B3"/>
    <w:rsid w:val="34224D1D"/>
    <w:rsid w:val="371745F4"/>
    <w:rsid w:val="38A02C1C"/>
    <w:rsid w:val="396F3B33"/>
    <w:rsid w:val="3A572ADE"/>
    <w:rsid w:val="3AAC4FED"/>
    <w:rsid w:val="439F71B0"/>
    <w:rsid w:val="43F17DDA"/>
    <w:rsid w:val="441B4387"/>
    <w:rsid w:val="44A11E8B"/>
    <w:rsid w:val="45BB58B7"/>
    <w:rsid w:val="4D5C62B5"/>
    <w:rsid w:val="4E800FD6"/>
    <w:rsid w:val="51023840"/>
    <w:rsid w:val="51A9218E"/>
    <w:rsid w:val="53DE49CB"/>
    <w:rsid w:val="56171842"/>
    <w:rsid w:val="564773F0"/>
    <w:rsid w:val="571D22FF"/>
    <w:rsid w:val="588D07B1"/>
    <w:rsid w:val="60C729FA"/>
    <w:rsid w:val="65286C03"/>
    <w:rsid w:val="67690C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Calibri" w:hAnsi="Calibri" w:eastAsia="宋体" w:cs="Arial"/>
      <w:kern w:val="2"/>
      <w:sz w:val="21"/>
      <w:szCs w:val="22"/>
      <w:lang w:val="en-US" w:eastAsia="zh-CN" w:bidi="ar-SA"/>
    </w:rPr>
  </w:style>
  <w:style w:type="paragraph" w:styleId="2">
    <w:name w:val="heading 4"/>
    <w:basedOn w:val="1"/>
    <w:next w:val="1"/>
    <w:autoRedefine/>
    <w:semiHidden/>
    <w:unhideWhenUsed/>
    <w:qFormat/>
    <w:uiPriority w:val="0"/>
    <w:pPr>
      <w:spacing w:beforeAutospacing="1" w:afterAutospacing="1"/>
      <w:jc w:val="left"/>
      <w:outlineLvl w:val="3"/>
    </w:pPr>
    <w:rPr>
      <w:rFonts w:hint="eastAsia" w:ascii="宋体" w:hAnsi="宋体" w:cs="Times New Roman"/>
      <w:b/>
      <w:bCs/>
      <w:kern w:val="0"/>
      <w:sz w:val="24"/>
      <w:szCs w:val="24"/>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spacing w:line="240" w:lineRule="auto"/>
      <w:jc w:val="left"/>
    </w:pPr>
    <w:rPr>
      <w:sz w:val="18"/>
      <w:szCs w:val="18"/>
    </w:rPr>
  </w:style>
  <w:style w:type="paragraph" w:styleId="4">
    <w:name w:val="header"/>
    <w:basedOn w:val="1"/>
    <w:link w:val="20"/>
    <w:autoRedefine/>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5">
    <w:name w:val="Normal (Web)"/>
    <w:basedOn w:val="1"/>
    <w:autoRedefine/>
    <w:qFormat/>
    <w:uiPriority w:val="0"/>
    <w:pPr>
      <w:jc w:val="left"/>
    </w:pPr>
    <w:rPr>
      <w:rFonts w:cs="Times New Roman"/>
      <w:kern w:val="0"/>
      <w:sz w:val="24"/>
    </w:rPr>
  </w:style>
  <w:style w:type="character" w:styleId="8">
    <w:name w:val="Strong"/>
    <w:basedOn w:val="7"/>
    <w:autoRedefine/>
    <w:qFormat/>
    <w:uiPriority w:val="0"/>
    <w:rPr>
      <w:b/>
      <w:bCs/>
    </w:rPr>
  </w:style>
  <w:style w:type="character" w:styleId="9">
    <w:name w:val="FollowedHyperlink"/>
    <w:basedOn w:val="7"/>
    <w:autoRedefine/>
    <w:qFormat/>
    <w:uiPriority w:val="0"/>
    <w:rPr>
      <w:color w:val="428BCA"/>
      <w:u w:val="none"/>
    </w:rPr>
  </w:style>
  <w:style w:type="character" w:styleId="10">
    <w:name w:val="HTML Definition"/>
    <w:basedOn w:val="7"/>
    <w:autoRedefine/>
    <w:qFormat/>
    <w:uiPriority w:val="0"/>
    <w:rPr>
      <w:i/>
      <w:iCs/>
    </w:rPr>
  </w:style>
  <w:style w:type="character" w:styleId="11">
    <w:name w:val="Hyperlink"/>
    <w:basedOn w:val="7"/>
    <w:autoRedefine/>
    <w:qFormat/>
    <w:uiPriority w:val="0"/>
    <w:rPr>
      <w:color w:val="0000FF"/>
      <w:u w:val="single"/>
    </w:rPr>
  </w:style>
  <w:style w:type="character" w:styleId="12">
    <w:name w:val="HTML Code"/>
    <w:basedOn w:val="7"/>
    <w:autoRedefine/>
    <w:qFormat/>
    <w:uiPriority w:val="0"/>
    <w:rPr>
      <w:rFonts w:hint="default" w:ascii="Consolas" w:hAnsi="Consolas" w:eastAsia="Consolas" w:cs="Consolas"/>
      <w:color w:val="C7254E"/>
      <w:sz w:val="21"/>
      <w:szCs w:val="21"/>
      <w:shd w:val="clear" w:color="auto" w:fill="F9F2F4"/>
    </w:rPr>
  </w:style>
  <w:style w:type="character" w:styleId="13">
    <w:name w:val="HTML Keyboard"/>
    <w:basedOn w:val="7"/>
    <w:autoRedefine/>
    <w:qFormat/>
    <w:uiPriority w:val="0"/>
    <w:rPr>
      <w:rFonts w:ascii="Consolas" w:hAnsi="Consolas" w:eastAsia="Consolas" w:cs="Consolas"/>
      <w:color w:val="FFFFFF"/>
      <w:sz w:val="21"/>
      <w:szCs w:val="21"/>
      <w:shd w:val="clear" w:color="auto" w:fill="333333"/>
    </w:rPr>
  </w:style>
  <w:style w:type="character" w:styleId="14">
    <w:name w:val="HTML Sample"/>
    <w:basedOn w:val="7"/>
    <w:autoRedefine/>
    <w:qFormat/>
    <w:uiPriority w:val="0"/>
    <w:rPr>
      <w:rFonts w:hint="default" w:ascii="Consolas" w:hAnsi="Consolas" w:eastAsia="Consolas" w:cs="Consolas"/>
      <w:sz w:val="21"/>
      <w:szCs w:val="21"/>
    </w:rPr>
  </w:style>
  <w:style w:type="paragraph" w:customStyle="1" w:styleId="15">
    <w:name w:val="Default"/>
    <w:autoRedefine/>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character" w:customStyle="1" w:styleId="16">
    <w:name w:val="nth-child(1)"/>
    <w:basedOn w:val="7"/>
    <w:autoRedefine/>
    <w:qFormat/>
    <w:uiPriority w:val="0"/>
    <w:rPr>
      <w:color w:val="FBA44C"/>
      <w:sz w:val="33"/>
      <w:szCs w:val="33"/>
    </w:rPr>
  </w:style>
  <w:style w:type="paragraph" w:customStyle="1" w:styleId="17">
    <w:name w:val="p1"/>
    <w:basedOn w:val="1"/>
    <w:autoRedefine/>
    <w:qFormat/>
    <w:uiPriority w:val="0"/>
    <w:pPr>
      <w:widowControl/>
      <w:spacing w:before="100" w:beforeAutospacing="1" w:after="100" w:afterAutospacing="1" w:line="240" w:lineRule="auto"/>
      <w:jc w:val="left"/>
    </w:pPr>
    <w:rPr>
      <w:rFonts w:ascii="宋体" w:hAnsi="宋体" w:cs="宋体"/>
      <w:kern w:val="0"/>
      <w:sz w:val="24"/>
      <w:szCs w:val="24"/>
    </w:rPr>
  </w:style>
  <w:style w:type="character" w:customStyle="1" w:styleId="18">
    <w:name w:val="s1"/>
    <w:basedOn w:val="7"/>
    <w:autoRedefine/>
    <w:qFormat/>
    <w:uiPriority w:val="0"/>
  </w:style>
  <w:style w:type="character" w:customStyle="1" w:styleId="19">
    <w:name w:val="nth-child(1)1"/>
    <w:basedOn w:val="7"/>
    <w:autoRedefine/>
    <w:qFormat/>
    <w:uiPriority w:val="0"/>
    <w:rPr>
      <w:color w:val="FBA44C"/>
      <w:sz w:val="33"/>
      <w:szCs w:val="33"/>
    </w:rPr>
  </w:style>
  <w:style w:type="character" w:customStyle="1" w:styleId="20">
    <w:name w:val="页眉 Char"/>
    <w:basedOn w:val="7"/>
    <w:link w:val="4"/>
    <w:autoRedefine/>
    <w:qFormat/>
    <w:uiPriority w:val="0"/>
    <w:rPr>
      <w:rFonts w:ascii="Calibri" w:hAnsi="Calibri" w:cs="Arial"/>
      <w:kern w:val="2"/>
      <w:sz w:val="18"/>
      <w:szCs w:val="18"/>
    </w:rPr>
  </w:style>
  <w:style w:type="character" w:customStyle="1" w:styleId="21">
    <w:name w:val="fontstyle01"/>
    <w:basedOn w:val="7"/>
    <w:autoRedefine/>
    <w:qFormat/>
    <w:uiPriority w:val="0"/>
    <w:rPr>
      <w:rFonts w:hint="eastAsia" w:ascii="仿宋_GB2312" w:eastAsia="仿宋_GB2312"/>
      <w:color w:val="000000"/>
      <w:sz w:val="32"/>
      <w:szCs w:val="32"/>
    </w:rPr>
  </w:style>
  <w:style w:type="character" w:customStyle="1" w:styleId="22">
    <w:name w:val="fontstyle21"/>
    <w:basedOn w:val="7"/>
    <w:autoRedefine/>
    <w:qFormat/>
    <w:uiPriority w:val="0"/>
    <w:rPr>
      <w:rFonts w:hint="default" w:ascii="TimesNewRomanPSMT" w:hAnsi="TimesNewRomanPSMT"/>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758</Words>
  <Characters>4325</Characters>
  <Lines>36</Lines>
  <Paragraphs>10</Paragraphs>
  <TotalTime>4</TotalTime>
  <ScaleCrop>false</ScaleCrop>
  <LinksUpToDate>false</LinksUpToDate>
  <CharactersWithSpaces>5073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2024-05-16T23:33:00Z</dcterms:created>
  <dc:creator>杨典林</dc:creator>
  <cp:lastModifiedBy>维他命C</cp:lastModifiedBy>
  <cp:lastPrinted>2023-12-13T01:11:00Z</cp:lastPrinted>
  <dcterms:modified xsi:type="dcterms:W3CDTF">2024-05-17T09:29:38Z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57F50722738B4B0C8BC7D8761FD218BF</vt:lpwstr>
  </property>
</Properties>
</file>